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E6C" w:rsidRPr="00CB07BA" w:rsidRDefault="00DD1E6C" w:rsidP="00EE173C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CB07BA">
        <w:rPr>
          <w:rFonts w:ascii="Times New Roman" w:hAnsi="Times New Roman" w:cs="Times New Roman"/>
        </w:rPr>
        <w:t>ANEXO</w:t>
      </w:r>
    </w:p>
    <w:p w:rsidR="00DD1E6C" w:rsidRPr="00CB07BA" w:rsidRDefault="00DD1E6C" w:rsidP="00DD1E6C">
      <w:pPr>
        <w:jc w:val="center"/>
        <w:rPr>
          <w:rFonts w:ascii="Times New Roman" w:hAnsi="Times New Roman" w:cs="Times New Roman"/>
        </w:rPr>
      </w:pPr>
      <w:r w:rsidRPr="00CB07BA">
        <w:rPr>
          <w:rFonts w:ascii="Times New Roman" w:hAnsi="Times New Roman" w:cs="Times New Roman"/>
          <w:sz w:val="23"/>
          <w:szCs w:val="23"/>
        </w:rPr>
        <w:t xml:space="preserve">INDICADORES para a </w:t>
      </w:r>
      <w:proofErr w:type="spellStart"/>
      <w:r w:rsidRPr="00CB07BA">
        <w:rPr>
          <w:rFonts w:ascii="Times New Roman" w:hAnsi="Times New Roman" w:cs="Times New Roman"/>
          <w:sz w:val="23"/>
          <w:szCs w:val="23"/>
        </w:rPr>
        <w:t>pactuação</w:t>
      </w:r>
      <w:proofErr w:type="spellEnd"/>
      <w:r w:rsidR="00F62FB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B07BA">
        <w:rPr>
          <w:rFonts w:ascii="Times New Roman" w:hAnsi="Times New Roman" w:cs="Times New Roman"/>
          <w:sz w:val="23"/>
          <w:szCs w:val="23"/>
        </w:rPr>
        <w:t>interfederativa</w:t>
      </w:r>
      <w:proofErr w:type="spellEnd"/>
      <w:r w:rsidRPr="00CB07BA">
        <w:rPr>
          <w:rFonts w:ascii="Times New Roman" w:hAnsi="Times New Roman" w:cs="Times New Roman"/>
          <w:sz w:val="23"/>
          <w:szCs w:val="23"/>
        </w:rPr>
        <w:t xml:space="preserve"> </w:t>
      </w:r>
      <w:r w:rsidR="00F62FB2">
        <w:rPr>
          <w:rFonts w:ascii="Times New Roman" w:hAnsi="Times New Roman" w:cs="Times New Roman"/>
          <w:sz w:val="23"/>
          <w:szCs w:val="23"/>
        </w:rPr>
        <w:t xml:space="preserve">de metas para </w:t>
      </w:r>
      <w:r w:rsidRPr="00CB07BA">
        <w:rPr>
          <w:rFonts w:ascii="Times New Roman" w:hAnsi="Times New Roman" w:cs="Times New Roman"/>
          <w:sz w:val="23"/>
          <w:szCs w:val="23"/>
        </w:rPr>
        <w:t>2016</w:t>
      </w:r>
      <w:r w:rsidR="003B3681">
        <w:rPr>
          <w:rFonts w:ascii="Times New Roman" w:hAnsi="Times New Roman" w:cs="Times New Roman"/>
          <w:sz w:val="23"/>
          <w:szCs w:val="23"/>
        </w:rPr>
        <w:t>.</w:t>
      </w:r>
    </w:p>
    <w:tbl>
      <w:tblPr>
        <w:tblW w:w="483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7527"/>
        <w:gridCol w:w="2125"/>
      </w:tblGrid>
      <w:tr w:rsidR="00A16065" w:rsidRPr="00F62FB2" w:rsidTr="00EE173C">
        <w:trPr>
          <w:trHeight w:val="9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Diretriz. Ampliar e qualificar o acesso aos serviços de saúde de qualidade, em tempo adequado, com ênfase na humanização, equidade e no atendimento das necessidades de saúde, aprimorando a política de atenção básica, especializada, ambulatorial e hospitalar, e garantindo o acesso a medicamentos no âmbito do SUS.</w:t>
            </w:r>
          </w:p>
        </w:tc>
      </w:tr>
      <w:tr w:rsidR="00A16065" w:rsidRPr="00F62FB2" w:rsidTr="00EE173C">
        <w:trPr>
          <w:trHeight w:val="79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Objetivo 1. Ampliar e qualificar o acesso aos serviços de saúde, em tempo adequado, com ênfase na humanização, equidade e no atendimento das necessidades de saúde, aprimorando a política de atenção básica e especializada, ambulatorial e hospitalar</w:t>
            </w:r>
          </w:p>
        </w:tc>
      </w:tr>
      <w:tr w:rsidR="00A16065" w:rsidRPr="00F62FB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A16065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065" w:rsidRPr="00D51EC0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65" w:rsidRPr="00D51EC0" w:rsidRDefault="00A16065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>Cobertura de acompanhamento das condicionalidades de Saúde do Programa Bolsa Família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065" w:rsidRPr="00D51EC0" w:rsidRDefault="009C511F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65" w:rsidRPr="00D51EC0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065" w:rsidRPr="00D51EC0" w:rsidRDefault="00A16065" w:rsidP="00D65669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 xml:space="preserve">Proporção de </w:t>
            </w:r>
            <w:proofErr w:type="spellStart"/>
            <w:r w:rsidRPr="00D51EC0">
              <w:rPr>
                <w:rFonts w:ascii="Arial Narrow" w:eastAsia="Times New Roman" w:hAnsi="Arial Narrow" w:cs="Times New Roman"/>
                <w:lang w:eastAsia="pt-BR"/>
              </w:rPr>
              <w:t>exodontia</w:t>
            </w:r>
            <w:proofErr w:type="spellEnd"/>
            <w:r w:rsidRPr="00D51EC0">
              <w:rPr>
                <w:rFonts w:ascii="Arial Narrow" w:eastAsia="Times New Roman" w:hAnsi="Arial Narrow" w:cs="Times New Roman"/>
                <w:lang w:eastAsia="pt-BR"/>
              </w:rPr>
              <w:t xml:space="preserve"> em relação aos procedimentos.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065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A16065" w:rsidRPr="00F62FB2" w:rsidTr="00EE173C">
        <w:trPr>
          <w:trHeight w:val="7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Diretriz. Aprimorar as redes de atenção e promover o cuidado integral às pessoas nos vários ciclos de vida (criança, adolescente, jovem, adulto e idoso), considerando as questões de gênero e das populações em  situação de vulnerabilidade social, na atenção básica, nas redes temáticas e nas redes de atenção nas regiões de saúde.</w:t>
            </w:r>
          </w:p>
        </w:tc>
      </w:tr>
      <w:tr w:rsidR="00A16065" w:rsidRPr="00F62FB2" w:rsidTr="00EE173C">
        <w:trPr>
          <w:trHeight w:val="78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Objetivo 2. Aprimorar e implantar as Redes de Atenção à Saúde nas regiões de saúde, com ênfase na articulação da Rede de Urgência e Emergência, Rede Cegonha, Rede de Atenção Psicossocial, Rede de Cuidados à Pessoa com Deficiência, e da Rede de Atenção à Saúde das Pessoas com Doenças Crônicas</w:t>
            </w:r>
          </w:p>
        </w:tc>
      </w:tr>
      <w:tr w:rsidR="00A16065" w:rsidRPr="00F62FB2" w:rsidTr="00EE173C">
        <w:trPr>
          <w:trHeight w:val="861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A16065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65" w:rsidRPr="00D51EC0" w:rsidRDefault="00A16065" w:rsidP="009F579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3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65" w:rsidRPr="00D51EC0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>Proporção de acesso hospitalar dos óbitos por acidente.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065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D51EC0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4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3C" w:rsidRPr="00D51EC0" w:rsidRDefault="00EE173C" w:rsidP="006C2C4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>P</w:t>
            </w:r>
            <w:r>
              <w:rPr>
                <w:rFonts w:ascii="Arial Narrow" w:eastAsia="Times New Roman" w:hAnsi="Arial Narrow" w:cs="Times New Roman"/>
                <w:lang w:eastAsia="pt-BR"/>
              </w:rPr>
              <w:t>r</w:t>
            </w:r>
            <w:r w:rsidRPr="00D51EC0">
              <w:rPr>
                <w:rFonts w:ascii="Arial Narrow" w:eastAsia="Times New Roman" w:hAnsi="Arial Narrow" w:cs="Times New Roman"/>
                <w:lang w:eastAsia="pt-BR"/>
              </w:rPr>
              <w:t>oporção de óbitos nas internações por infarto agudo do miocárdio (IAM)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D51EC0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5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D51EC0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 xml:space="preserve">Razão de exames </w:t>
            </w:r>
            <w:proofErr w:type="spellStart"/>
            <w:r w:rsidRPr="00D51EC0">
              <w:rPr>
                <w:rFonts w:ascii="Arial Narrow" w:eastAsia="Times New Roman" w:hAnsi="Arial Narrow" w:cs="Times New Roman"/>
                <w:lang w:eastAsia="pt-BR"/>
              </w:rPr>
              <w:t>citopatológicos</w:t>
            </w:r>
            <w:proofErr w:type="spellEnd"/>
            <w:r w:rsidRPr="00D51EC0">
              <w:rPr>
                <w:rFonts w:ascii="Arial Narrow" w:eastAsia="Times New Roman" w:hAnsi="Arial Narrow" w:cs="Times New Roman"/>
                <w:lang w:eastAsia="pt-BR"/>
              </w:rPr>
              <w:t xml:space="preserve"> do colo do útero em mulheres de 25 a 64 anos e a população da mesma faixa etária.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D51EC0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6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D51EC0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>Razão de exames de mamografia de rastreamento realizados em mulheres de 50 a 69 anos e população da mesma faixa etária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D51EC0" w:rsidTr="00EE173C">
        <w:trPr>
          <w:trHeight w:val="337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D51EC0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7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D51EC0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>Proporção de parto normal</w:t>
            </w:r>
            <w:r>
              <w:rPr>
                <w:rFonts w:ascii="Arial Narrow" w:eastAsia="Times New Roman" w:hAnsi="Arial Narrow" w:cs="Times New Roman"/>
                <w:lang w:eastAsia="pt-BR"/>
              </w:rPr>
              <w:t xml:space="preserve"> no SUS e na Saúde Suplementar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D51EC0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D51EC0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8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3C" w:rsidRPr="00D51EC0" w:rsidRDefault="00EE173C" w:rsidP="008410F1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D51EC0">
              <w:rPr>
                <w:rFonts w:ascii="Arial Narrow" w:eastAsia="Times New Roman" w:hAnsi="Arial Narrow" w:cs="Times New Roman"/>
                <w:lang w:eastAsia="pt-BR"/>
              </w:rPr>
              <w:t xml:space="preserve">Cobertura de Centros de Atenção Psicossocial – </w:t>
            </w:r>
            <w:proofErr w:type="spellStart"/>
            <w:r w:rsidRPr="00D51EC0">
              <w:rPr>
                <w:rFonts w:ascii="Arial Narrow" w:eastAsia="Times New Roman" w:hAnsi="Arial Narrow" w:cs="Times New Roman"/>
                <w:lang w:eastAsia="pt-BR"/>
              </w:rPr>
              <w:t>Caps</w:t>
            </w:r>
            <w:proofErr w:type="spellEnd"/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A16065" w:rsidRPr="00F62FB2" w:rsidTr="00EE173C">
        <w:trPr>
          <w:trHeight w:val="8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Objetivo 3. Promover o cuidado integral às pessoas nos ciclos de vida (criança, adolescente, jovem, adulto e idoso), considerando as questões de gênero, orientação sexual, raça/etnia, situações de vulnerabilidade, as especificidades e a diversidade na atenção básica, nas redes temáticas e nas redes de atenção à saúde</w:t>
            </w:r>
          </w:p>
        </w:tc>
      </w:tr>
      <w:tr w:rsidR="00A16065" w:rsidRPr="00F62FB2" w:rsidTr="00EE173C">
        <w:trPr>
          <w:trHeight w:val="85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E66D6F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E66D6F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9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73C" w:rsidRPr="00E66D6F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E66D6F">
              <w:rPr>
                <w:rFonts w:ascii="Arial Narrow" w:eastAsia="Times New Roman" w:hAnsi="Arial Narrow" w:cs="Times New Roman"/>
                <w:lang w:eastAsia="pt-BR"/>
              </w:rPr>
              <w:t>Taxa de Mortalidade Infantil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E66D6F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E66D6F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10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E66D6F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E66D6F">
              <w:rPr>
                <w:rFonts w:ascii="Arial Narrow" w:eastAsia="Times New Roman" w:hAnsi="Arial Narrow" w:cs="Times New Roman"/>
                <w:lang w:eastAsia="pt-BR"/>
              </w:rPr>
              <w:t>Proporção de óbitos maternos investigados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E66D6F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E66D6F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11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E66D6F" w:rsidRDefault="00EE173C" w:rsidP="00F62FB2">
            <w:pPr>
              <w:spacing w:after="0" w:line="240" w:lineRule="auto"/>
              <w:rPr>
                <w:rFonts w:ascii="Arial Narrow" w:eastAsia="Times New Roman" w:hAnsi="Arial Narrow" w:cs="Times New Roman"/>
                <w:lang w:eastAsia="pt-BR"/>
              </w:rPr>
            </w:pPr>
            <w:r w:rsidRPr="00E66D6F">
              <w:rPr>
                <w:rFonts w:ascii="Arial Narrow" w:eastAsia="Times New Roman" w:hAnsi="Arial Narrow" w:cs="Times New Roman"/>
                <w:lang w:eastAsia="pt-BR"/>
              </w:rPr>
              <w:t>Proporção de óbitos de mulheres em idade fértil (MIF) investigados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F62FB2" w:rsidTr="00EE173C">
        <w:trPr>
          <w:trHeight w:val="61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lang w:eastAsia="pt-BR"/>
              </w:rPr>
              <w:t>Diretriz. Reduzir e prevenir riscos e agravos à saúde da população por meio das ações de vigilância, promoção e proteção, com foco na prevenção de doenças crônicas não transmissíveis, acidentes e violências, no controle das doenças transmissíveis e na promoção do envelhecimento saudável.</w:t>
            </w:r>
          </w:p>
        </w:tc>
      </w:tr>
      <w:tr w:rsidR="00A16065" w:rsidRPr="00F62FB2" w:rsidTr="00EE173C">
        <w:trPr>
          <w:trHeight w:val="67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lang w:eastAsia="pt-BR"/>
              </w:rPr>
              <w:t>Objetivo 4. Reduzir e prevenir riscos e agravos à saúde da população, considerando os determinantes sociais, por meio das ações de vigilância, promoção e proteção, com foco na prevenção de doenças crônicas não transmissíveis, acidentes e violências, no controle das doenças transmissíveis e na promoção do envelhecimento saudável</w:t>
            </w:r>
          </w:p>
        </w:tc>
      </w:tr>
      <w:tr w:rsidR="00A16065" w:rsidRPr="00F62FB2" w:rsidTr="00EE173C">
        <w:trPr>
          <w:trHeight w:val="629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12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Número de casos novos de sífilis congênita em menores de 1 ano de idade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286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13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B3F28" w:rsidRDefault="00EE173C" w:rsidP="003B3F2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B3F28">
              <w:rPr>
                <w:rFonts w:ascii="Arial Narrow" w:eastAsia="Times New Roman" w:hAnsi="Arial Narrow" w:cs="Times New Roman"/>
                <w:lang w:eastAsia="pt-BR"/>
              </w:rPr>
              <w:t>Taxa de mortalidade prematura (de 30 a 69 anos) pelo conjunto das quatro principais doenças crônicas não transmissíveis (DCNT – doenças do aparelho circulatório, câncer, diabetes e doenças respiratórias crônicas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54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lastRenderedPageBreak/>
              <w:t>14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vacinas do Calendário Básico de Vacinação da Criança com coberturas vacinais alcançadas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15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cura de casos novos de tuberculose pulmonar com confirmação laboratorial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16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 xml:space="preserve">Proporção de exame </w:t>
            </w:r>
            <w:proofErr w:type="spellStart"/>
            <w:r w:rsidRPr="00372DC2">
              <w:rPr>
                <w:rFonts w:ascii="Arial Narrow" w:eastAsia="Times New Roman" w:hAnsi="Arial Narrow" w:cs="Times New Roman"/>
                <w:lang w:eastAsia="pt-BR"/>
              </w:rPr>
              <w:t>anti-HIV</w:t>
            </w:r>
            <w:proofErr w:type="spellEnd"/>
            <w:r w:rsidRPr="00372DC2">
              <w:rPr>
                <w:rFonts w:ascii="Arial Narrow" w:eastAsia="Times New Roman" w:hAnsi="Arial Narrow" w:cs="Times New Roman"/>
                <w:lang w:eastAsia="pt-BR"/>
              </w:rPr>
              <w:t xml:space="preserve"> realizados entre os casos novos de tuberculose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40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17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registro de óbitos com causa básica definida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18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municípios com casos de doenças ou agravos relacionados ao trabalho* notificados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EE173C" w:rsidRPr="00502522" w:rsidTr="00EE173C">
        <w:trPr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19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 xml:space="preserve">Número de casos novos de aids em menores de 5 anos. 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502522" w:rsidTr="00EE173C">
        <w:trPr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065" w:rsidRPr="0050252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20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065" w:rsidRPr="00372DC2" w:rsidRDefault="00A16065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cura dos casos novos de hanseníase diagnosticados nos anos das coortes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6065" w:rsidRPr="00372DC2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21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372DC2" w:rsidRDefault="00EE173C" w:rsidP="0016601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Proporção de contatos examinados de casos novos de hanseníase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372DC2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22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Incidência Parasitária Anual (IPA) de malária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372DC2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23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Número absoluto de óbitos por dengue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372DC2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24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Proporção de imóveis visitados em, pelo menos, quatro ciclos de visitas domiciliares para controle da dengue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372DC2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25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Proporção de análises realizadas em amostras de água para consumo humano quanto aos parâmetros coliformes totais, cloro residual livre e turbidez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F62FB2" w:rsidTr="00EE173C">
        <w:trPr>
          <w:trHeight w:val="6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Objetivo 8. Aprimorar o marco regulatório e as ações de vigilância sanitária, para assegurar a proteção à saúde e o desenvolvimento sustentável do setor</w:t>
            </w:r>
          </w:p>
        </w:tc>
      </w:tr>
      <w:tr w:rsidR="00A16065" w:rsidRPr="00F62FB2" w:rsidTr="00EE173C">
        <w:trPr>
          <w:trHeight w:val="6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26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1A1B2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372DC2">
              <w:rPr>
                <w:rFonts w:ascii="Arial Narrow" w:eastAsia="Times New Roman" w:hAnsi="Arial Narrow" w:cs="Times New Roman"/>
                <w:lang w:eastAsia="pt-BR"/>
              </w:rPr>
              <w:t>Percentual de municípios que realizam no mínimo seis grupos de ações de Vigilância Sanitária, consideradas necessárias a todos os municípios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F62FB2" w:rsidTr="00EE173C">
        <w:trPr>
          <w:trHeight w:val="10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Diretriz. Fortalecer o papel do Estado na regulação do trabalho em saúde e ordenar, para as necessidades do SUS, a formação, a educação permanente, a qualificação, a valorização dos trabalhadores e trabalhadoras, combatendo a precarização e favorecendo a democratização das relações de trabalho. Tudo isso considerando as metas de superação das demandas do mundo do trabalho na área da saúde estabelecidas pela Década de Gestão do Trabalho e Educação em Saúde, iniciada em 2013</w:t>
            </w:r>
          </w:p>
        </w:tc>
      </w:tr>
      <w:tr w:rsidR="00A16065" w:rsidRPr="00F62FB2" w:rsidTr="00EE173C">
        <w:trPr>
          <w:trHeight w:val="6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Objetivo 10. Promover, para as necessidades do SUS, a formação, a educação permanente, a qualificação, a valorização dos trabalhadores, a </w:t>
            </w:r>
            <w:proofErr w:type="spellStart"/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desprecarização</w:t>
            </w:r>
            <w:proofErr w:type="spellEnd"/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 e a democratização das relações de trabalho</w:t>
            </w:r>
          </w:p>
        </w:tc>
      </w:tr>
      <w:tr w:rsidR="00A16065" w:rsidRPr="00F62FB2" w:rsidTr="00EE173C">
        <w:trPr>
          <w:trHeight w:val="66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502522" w:rsidTr="00EE173C">
        <w:trPr>
          <w:trHeight w:val="66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3C" w:rsidRPr="00502522" w:rsidRDefault="00EE173C" w:rsidP="00586A90">
            <w:pPr>
              <w:spacing w:after="0" w:line="240" w:lineRule="auto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27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586A9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Proporção de ações de educação permanente implementadas e/ou realizadas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  <w:tr w:rsidR="00A16065" w:rsidRPr="00F62FB2" w:rsidTr="00EE173C">
        <w:trPr>
          <w:trHeight w:val="69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Diretriz. Aprimorar a relação federativa no SUS, fortalecendo a gestão compartilhada nas regiões de saúde e com a revisão dos instrumentos de gestão, considerando as especificidades regionais e a concertação de responsabilidades dos municípios, estados e União, visando oferecer ao cidadão o cuidado integral.</w:t>
            </w:r>
          </w:p>
        </w:tc>
      </w:tr>
      <w:tr w:rsidR="00A16065" w:rsidRPr="00F62FB2" w:rsidTr="00EE173C">
        <w:trPr>
          <w:trHeight w:val="55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Objetivo 12. Aprimorar a relação </w:t>
            </w:r>
            <w:proofErr w:type="spellStart"/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interfederativa</w:t>
            </w:r>
            <w:proofErr w:type="spellEnd"/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 e a atuação do Ministério da Saúde como gestor federal do SUS</w:t>
            </w:r>
          </w:p>
        </w:tc>
      </w:tr>
      <w:tr w:rsidR="00A16065" w:rsidRPr="00F62FB2" w:rsidTr="00EE173C">
        <w:trPr>
          <w:trHeight w:val="55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3C" w:rsidRPr="00502522" w:rsidRDefault="00EE173C" w:rsidP="00F62FB2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28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CE68CE" w:rsidP="001A1B2E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P</w:t>
            </w:r>
            <w:r w:rsidR="00EE173C" w:rsidRPr="00372DC2">
              <w:rPr>
                <w:rFonts w:ascii="Arial Narrow" w:eastAsia="Times New Roman" w:hAnsi="Arial Narrow" w:cs="Times New Roman"/>
                <w:lang w:eastAsia="pt-BR"/>
              </w:rPr>
              <w:t>lanos de saúde enviados aos conselhos de saúde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9C511F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Universal</w:t>
            </w:r>
          </w:p>
        </w:tc>
      </w:tr>
      <w:tr w:rsidR="00A16065" w:rsidRPr="00F62FB2" w:rsidTr="00EE173C">
        <w:trPr>
          <w:trHeight w:val="7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  <w:hideMark/>
          </w:tcPr>
          <w:p w:rsidR="00A16065" w:rsidRPr="00F62FB2" w:rsidRDefault="00A16065" w:rsidP="007D2A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Diretriz. </w:t>
            </w:r>
            <w:r w:rsidRPr="00E9107C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Garantir o financiamento estável e sustentável para o SUS, melhorando o padrão do gasto e qualificando o financiamento tripartite e os processos de transferência de recursos</w:t>
            </w: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.</w:t>
            </w:r>
          </w:p>
        </w:tc>
      </w:tr>
      <w:tr w:rsidR="00A16065" w:rsidRPr="00F62FB2" w:rsidTr="00EE173C">
        <w:trPr>
          <w:trHeight w:val="6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A16065" w:rsidRPr="00F62FB2" w:rsidRDefault="00A16065" w:rsidP="007D2AC0">
            <w:pPr>
              <w:autoSpaceDE w:val="0"/>
              <w:autoSpaceDN w:val="0"/>
              <w:adjustRightInd w:val="0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Objetivo 1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3</w:t>
            </w: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 xml:space="preserve">. </w:t>
            </w:r>
            <w:r w:rsidRPr="00E9107C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Melhorar o padrão de gasto, qualificar o financiamento tripartite e os processos de transferência de recursos, na perspectiva do financiamento estável e sustentável do SUS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.</w:t>
            </w:r>
          </w:p>
        </w:tc>
      </w:tr>
      <w:tr w:rsidR="00A16065" w:rsidRPr="00F62FB2" w:rsidTr="00EE173C">
        <w:trPr>
          <w:trHeight w:val="60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7D2A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N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16065" w:rsidRPr="00F62FB2" w:rsidRDefault="00A16065" w:rsidP="007D2A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 w:rsidRPr="00F62FB2"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INDICADOR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</w:tcPr>
          <w:p w:rsidR="00A16065" w:rsidRPr="00F62FB2" w:rsidRDefault="00A16065" w:rsidP="003C691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t-BR"/>
              </w:rPr>
              <w:t>CLASSIFICAÇÃO</w:t>
            </w:r>
          </w:p>
        </w:tc>
      </w:tr>
      <w:tr w:rsidR="00EE173C" w:rsidRPr="00502522" w:rsidTr="00EE173C">
        <w:trPr>
          <w:trHeight w:val="33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3C" w:rsidRPr="00502522" w:rsidRDefault="00EE173C" w:rsidP="007D2A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29</w:t>
            </w:r>
          </w:p>
        </w:tc>
        <w:tc>
          <w:tcPr>
            <w:tcW w:w="3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3C" w:rsidRPr="00502522" w:rsidRDefault="00EE173C" w:rsidP="007D2A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lang w:eastAsia="pt-BR"/>
              </w:rPr>
            </w:pPr>
            <w:r w:rsidRPr="00502522">
              <w:rPr>
                <w:rFonts w:ascii="Arial Narrow" w:eastAsia="Times New Roman" w:hAnsi="Arial Narrow" w:cs="Times New Roman"/>
                <w:lang w:eastAsia="pt-BR"/>
              </w:rPr>
              <w:t>Proporção de entes com pelo menos uma alimentação por ano no Banco de Preço em Saúde</w:t>
            </w:r>
          </w:p>
        </w:tc>
        <w:tc>
          <w:tcPr>
            <w:tcW w:w="10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173C" w:rsidRPr="00D51EC0" w:rsidRDefault="00EE173C" w:rsidP="00EE173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t-BR"/>
              </w:rPr>
            </w:pPr>
            <w:r>
              <w:rPr>
                <w:rFonts w:ascii="Arial Narrow" w:eastAsia="Times New Roman" w:hAnsi="Arial Narrow" w:cs="Times New Roman"/>
                <w:lang w:eastAsia="pt-BR"/>
              </w:rPr>
              <w:t>Específico</w:t>
            </w:r>
          </w:p>
        </w:tc>
      </w:tr>
    </w:tbl>
    <w:p w:rsidR="00DD1E6C" w:rsidRPr="00CB07BA" w:rsidRDefault="00DD1E6C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D1E6C" w:rsidRPr="00CB07BA" w:rsidSect="005D7D77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5777D"/>
    <w:multiLevelType w:val="hybridMultilevel"/>
    <w:tmpl w:val="FC0E2B06"/>
    <w:lvl w:ilvl="0" w:tplc="04CC605A">
      <w:start w:val="1"/>
      <w:numFmt w:val="lowerLetter"/>
      <w:lvlText w:val="%1)"/>
      <w:lvlJc w:val="left"/>
      <w:pPr>
        <w:ind w:left="2529" w:hanging="13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5D5091A"/>
    <w:multiLevelType w:val="hybridMultilevel"/>
    <w:tmpl w:val="2466D130"/>
    <w:lvl w:ilvl="0" w:tplc="CD1AD782">
      <w:start w:val="1"/>
      <w:numFmt w:val="lowerLetter"/>
      <w:lvlText w:val="%1)"/>
      <w:lvlJc w:val="left"/>
      <w:pPr>
        <w:ind w:left="1854" w:hanging="360"/>
      </w:pPr>
      <w:rPr>
        <w:rFonts w:ascii="Times New Roman" w:eastAsiaTheme="minorHAnsi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300F6971"/>
    <w:multiLevelType w:val="hybridMultilevel"/>
    <w:tmpl w:val="D59446C8"/>
    <w:lvl w:ilvl="0" w:tplc="04160017">
      <w:start w:val="1"/>
      <w:numFmt w:val="lowerLetter"/>
      <w:lvlText w:val="%1)"/>
      <w:lvlJc w:val="left"/>
      <w:pPr>
        <w:ind w:left="1920" w:hanging="360"/>
      </w:pPr>
    </w:lvl>
    <w:lvl w:ilvl="1" w:tplc="04160019" w:tentative="1">
      <w:start w:val="1"/>
      <w:numFmt w:val="lowerLetter"/>
      <w:lvlText w:val="%2."/>
      <w:lvlJc w:val="left"/>
      <w:pPr>
        <w:ind w:left="2640" w:hanging="360"/>
      </w:pPr>
    </w:lvl>
    <w:lvl w:ilvl="2" w:tplc="0416001B" w:tentative="1">
      <w:start w:val="1"/>
      <w:numFmt w:val="lowerRoman"/>
      <w:lvlText w:val="%3."/>
      <w:lvlJc w:val="right"/>
      <w:pPr>
        <w:ind w:left="3360" w:hanging="180"/>
      </w:pPr>
    </w:lvl>
    <w:lvl w:ilvl="3" w:tplc="0416000F" w:tentative="1">
      <w:start w:val="1"/>
      <w:numFmt w:val="decimal"/>
      <w:lvlText w:val="%4."/>
      <w:lvlJc w:val="left"/>
      <w:pPr>
        <w:ind w:left="4080" w:hanging="360"/>
      </w:pPr>
    </w:lvl>
    <w:lvl w:ilvl="4" w:tplc="04160019" w:tentative="1">
      <w:start w:val="1"/>
      <w:numFmt w:val="lowerLetter"/>
      <w:lvlText w:val="%5."/>
      <w:lvlJc w:val="left"/>
      <w:pPr>
        <w:ind w:left="4800" w:hanging="360"/>
      </w:pPr>
    </w:lvl>
    <w:lvl w:ilvl="5" w:tplc="0416001B" w:tentative="1">
      <w:start w:val="1"/>
      <w:numFmt w:val="lowerRoman"/>
      <w:lvlText w:val="%6."/>
      <w:lvlJc w:val="right"/>
      <w:pPr>
        <w:ind w:left="5520" w:hanging="180"/>
      </w:pPr>
    </w:lvl>
    <w:lvl w:ilvl="6" w:tplc="0416000F" w:tentative="1">
      <w:start w:val="1"/>
      <w:numFmt w:val="decimal"/>
      <w:lvlText w:val="%7."/>
      <w:lvlJc w:val="left"/>
      <w:pPr>
        <w:ind w:left="6240" w:hanging="360"/>
      </w:pPr>
    </w:lvl>
    <w:lvl w:ilvl="7" w:tplc="04160019" w:tentative="1">
      <w:start w:val="1"/>
      <w:numFmt w:val="lowerLetter"/>
      <w:lvlText w:val="%8."/>
      <w:lvlJc w:val="left"/>
      <w:pPr>
        <w:ind w:left="6960" w:hanging="360"/>
      </w:pPr>
    </w:lvl>
    <w:lvl w:ilvl="8" w:tplc="0416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>
    <w:nsid w:val="37D0670A"/>
    <w:multiLevelType w:val="hybridMultilevel"/>
    <w:tmpl w:val="BAF85E76"/>
    <w:lvl w:ilvl="0" w:tplc="04160017">
      <w:start w:val="1"/>
      <w:numFmt w:val="lowerLetter"/>
      <w:lvlText w:val="%1)"/>
      <w:lvlJc w:val="left"/>
      <w:pPr>
        <w:ind w:left="2214" w:hanging="360"/>
      </w:p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4">
    <w:nsid w:val="42A456C1"/>
    <w:multiLevelType w:val="hybridMultilevel"/>
    <w:tmpl w:val="C16E236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44292C19"/>
    <w:multiLevelType w:val="hybridMultilevel"/>
    <w:tmpl w:val="BAF85E76"/>
    <w:lvl w:ilvl="0" w:tplc="04160017">
      <w:start w:val="1"/>
      <w:numFmt w:val="lowerLetter"/>
      <w:lvlText w:val="%1)"/>
      <w:lvlJc w:val="left"/>
      <w:pPr>
        <w:ind w:left="2214" w:hanging="360"/>
      </w:pPr>
    </w:lvl>
    <w:lvl w:ilvl="1" w:tplc="04160019" w:tentative="1">
      <w:start w:val="1"/>
      <w:numFmt w:val="lowerLetter"/>
      <w:lvlText w:val="%2."/>
      <w:lvlJc w:val="left"/>
      <w:pPr>
        <w:ind w:left="2934" w:hanging="360"/>
      </w:pPr>
    </w:lvl>
    <w:lvl w:ilvl="2" w:tplc="0416001B" w:tentative="1">
      <w:start w:val="1"/>
      <w:numFmt w:val="lowerRoman"/>
      <w:lvlText w:val="%3."/>
      <w:lvlJc w:val="right"/>
      <w:pPr>
        <w:ind w:left="3654" w:hanging="180"/>
      </w:pPr>
    </w:lvl>
    <w:lvl w:ilvl="3" w:tplc="0416000F" w:tentative="1">
      <w:start w:val="1"/>
      <w:numFmt w:val="decimal"/>
      <w:lvlText w:val="%4."/>
      <w:lvlJc w:val="left"/>
      <w:pPr>
        <w:ind w:left="4374" w:hanging="360"/>
      </w:pPr>
    </w:lvl>
    <w:lvl w:ilvl="4" w:tplc="04160019" w:tentative="1">
      <w:start w:val="1"/>
      <w:numFmt w:val="lowerLetter"/>
      <w:lvlText w:val="%5."/>
      <w:lvlJc w:val="left"/>
      <w:pPr>
        <w:ind w:left="5094" w:hanging="360"/>
      </w:pPr>
    </w:lvl>
    <w:lvl w:ilvl="5" w:tplc="0416001B" w:tentative="1">
      <w:start w:val="1"/>
      <w:numFmt w:val="lowerRoman"/>
      <w:lvlText w:val="%6."/>
      <w:lvlJc w:val="right"/>
      <w:pPr>
        <w:ind w:left="5814" w:hanging="180"/>
      </w:pPr>
    </w:lvl>
    <w:lvl w:ilvl="6" w:tplc="0416000F" w:tentative="1">
      <w:start w:val="1"/>
      <w:numFmt w:val="decimal"/>
      <w:lvlText w:val="%7."/>
      <w:lvlJc w:val="left"/>
      <w:pPr>
        <w:ind w:left="6534" w:hanging="360"/>
      </w:pPr>
    </w:lvl>
    <w:lvl w:ilvl="7" w:tplc="04160019" w:tentative="1">
      <w:start w:val="1"/>
      <w:numFmt w:val="lowerLetter"/>
      <w:lvlText w:val="%8."/>
      <w:lvlJc w:val="left"/>
      <w:pPr>
        <w:ind w:left="7254" w:hanging="360"/>
      </w:pPr>
    </w:lvl>
    <w:lvl w:ilvl="8" w:tplc="0416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6">
    <w:nsid w:val="4AE20325"/>
    <w:multiLevelType w:val="hybridMultilevel"/>
    <w:tmpl w:val="C16E2366"/>
    <w:lvl w:ilvl="0" w:tplc="04160017">
      <w:start w:val="1"/>
      <w:numFmt w:val="lowerLetter"/>
      <w:lvlText w:val="%1)"/>
      <w:lvlJc w:val="lef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569313EE"/>
    <w:multiLevelType w:val="hybridMultilevel"/>
    <w:tmpl w:val="8B42EAE4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41612"/>
    <w:multiLevelType w:val="hybridMultilevel"/>
    <w:tmpl w:val="E864C792"/>
    <w:lvl w:ilvl="0" w:tplc="04160013">
      <w:start w:val="1"/>
      <w:numFmt w:val="upperRoman"/>
      <w:lvlText w:val="%1."/>
      <w:lvlJc w:val="right"/>
      <w:pPr>
        <w:ind w:left="1494" w:hanging="360"/>
      </w:pPr>
    </w:lvl>
    <w:lvl w:ilvl="1" w:tplc="04160017">
      <w:start w:val="1"/>
      <w:numFmt w:val="lowerLetter"/>
      <w:lvlText w:val="%2)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3574198"/>
    <w:multiLevelType w:val="hybridMultilevel"/>
    <w:tmpl w:val="60F638AE"/>
    <w:lvl w:ilvl="0" w:tplc="04160013">
      <w:start w:val="1"/>
      <w:numFmt w:val="upperRoman"/>
      <w:lvlText w:val="%1."/>
      <w:lvlJc w:val="right"/>
      <w:pPr>
        <w:ind w:left="1854" w:hanging="360"/>
      </w:pPr>
    </w:lvl>
    <w:lvl w:ilvl="1" w:tplc="04160019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6"/>
  </w:num>
  <w:num w:numId="6">
    <w:abstractNumId w:val="8"/>
  </w:num>
  <w:num w:numId="7">
    <w:abstractNumId w:val="5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15E"/>
    <w:rsid w:val="00010074"/>
    <w:rsid w:val="00015C9D"/>
    <w:rsid w:val="0005235C"/>
    <w:rsid w:val="0006401D"/>
    <w:rsid w:val="000760A2"/>
    <w:rsid w:val="0008006A"/>
    <w:rsid w:val="000A71C1"/>
    <w:rsid w:val="000E62FA"/>
    <w:rsid w:val="00102669"/>
    <w:rsid w:val="00126C29"/>
    <w:rsid w:val="00130DC2"/>
    <w:rsid w:val="00153C3D"/>
    <w:rsid w:val="00166012"/>
    <w:rsid w:val="00166D9D"/>
    <w:rsid w:val="001A1B2E"/>
    <w:rsid w:val="001B0E38"/>
    <w:rsid w:val="001B5410"/>
    <w:rsid w:val="001D24A4"/>
    <w:rsid w:val="001F1D49"/>
    <w:rsid w:val="001F77E8"/>
    <w:rsid w:val="00212FD5"/>
    <w:rsid w:val="0021782A"/>
    <w:rsid w:val="00260CED"/>
    <w:rsid w:val="00270637"/>
    <w:rsid w:val="003109D8"/>
    <w:rsid w:val="00350370"/>
    <w:rsid w:val="003661B2"/>
    <w:rsid w:val="00372DC2"/>
    <w:rsid w:val="003867DF"/>
    <w:rsid w:val="003B3681"/>
    <w:rsid w:val="003B3F28"/>
    <w:rsid w:val="003C62F0"/>
    <w:rsid w:val="003E1AE6"/>
    <w:rsid w:val="003F7FAB"/>
    <w:rsid w:val="004218E8"/>
    <w:rsid w:val="004E7DF7"/>
    <w:rsid w:val="004F09FD"/>
    <w:rsid w:val="00502522"/>
    <w:rsid w:val="00514AB8"/>
    <w:rsid w:val="00522CDF"/>
    <w:rsid w:val="00525832"/>
    <w:rsid w:val="00554B6C"/>
    <w:rsid w:val="00556ADC"/>
    <w:rsid w:val="005671A8"/>
    <w:rsid w:val="00586A90"/>
    <w:rsid w:val="00594EBE"/>
    <w:rsid w:val="005D5651"/>
    <w:rsid w:val="005D7D77"/>
    <w:rsid w:val="00613152"/>
    <w:rsid w:val="00641F82"/>
    <w:rsid w:val="00650A17"/>
    <w:rsid w:val="006510DC"/>
    <w:rsid w:val="006564C8"/>
    <w:rsid w:val="006957A7"/>
    <w:rsid w:val="006B0E21"/>
    <w:rsid w:val="006C2C40"/>
    <w:rsid w:val="006C3077"/>
    <w:rsid w:val="006E6201"/>
    <w:rsid w:val="00701405"/>
    <w:rsid w:val="00753249"/>
    <w:rsid w:val="007575E9"/>
    <w:rsid w:val="007665E8"/>
    <w:rsid w:val="007A404E"/>
    <w:rsid w:val="007B1470"/>
    <w:rsid w:val="007B14DA"/>
    <w:rsid w:val="007F4665"/>
    <w:rsid w:val="008120E0"/>
    <w:rsid w:val="00817822"/>
    <w:rsid w:val="008410F1"/>
    <w:rsid w:val="008533BF"/>
    <w:rsid w:val="00870706"/>
    <w:rsid w:val="00880B1E"/>
    <w:rsid w:val="00887965"/>
    <w:rsid w:val="008C529F"/>
    <w:rsid w:val="008E0750"/>
    <w:rsid w:val="008E658F"/>
    <w:rsid w:val="009014C4"/>
    <w:rsid w:val="00904324"/>
    <w:rsid w:val="00904A9F"/>
    <w:rsid w:val="00906419"/>
    <w:rsid w:val="00911FF1"/>
    <w:rsid w:val="00913408"/>
    <w:rsid w:val="00922233"/>
    <w:rsid w:val="00950BBD"/>
    <w:rsid w:val="009617B9"/>
    <w:rsid w:val="00961AF9"/>
    <w:rsid w:val="00985087"/>
    <w:rsid w:val="009A7732"/>
    <w:rsid w:val="009C511F"/>
    <w:rsid w:val="009E1F10"/>
    <w:rsid w:val="009E725B"/>
    <w:rsid w:val="009F267B"/>
    <w:rsid w:val="009F5793"/>
    <w:rsid w:val="00A16065"/>
    <w:rsid w:val="00A764E0"/>
    <w:rsid w:val="00A85050"/>
    <w:rsid w:val="00A85079"/>
    <w:rsid w:val="00A87156"/>
    <w:rsid w:val="00A8725A"/>
    <w:rsid w:val="00AC3648"/>
    <w:rsid w:val="00AD71FF"/>
    <w:rsid w:val="00AE065A"/>
    <w:rsid w:val="00B02B6F"/>
    <w:rsid w:val="00B208EF"/>
    <w:rsid w:val="00B53E7D"/>
    <w:rsid w:val="00B77EC1"/>
    <w:rsid w:val="00B80A31"/>
    <w:rsid w:val="00B935C7"/>
    <w:rsid w:val="00BD57A8"/>
    <w:rsid w:val="00BE0F7F"/>
    <w:rsid w:val="00C3058D"/>
    <w:rsid w:val="00CA5AE8"/>
    <w:rsid w:val="00CB07BA"/>
    <w:rsid w:val="00CC0583"/>
    <w:rsid w:val="00CC556C"/>
    <w:rsid w:val="00CD4CE6"/>
    <w:rsid w:val="00CE58D6"/>
    <w:rsid w:val="00CE68CE"/>
    <w:rsid w:val="00CF523D"/>
    <w:rsid w:val="00CF592B"/>
    <w:rsid w:val="00D0373C"/>
    <w:rsid w:val="00D315DF"/>
    <w:rsid w:val="00D51EC0"/>
    <w:rsid w:val="00D5415E"/>
    <w:rsid w:val="00D5457F"/>
    <w:rsid w:val="00D65669"/>
    <w:rsid w:val="00D95D05"/>
    <w:rsid w:val="00DB5CA5"/>
    <w:rsid w:val="00DD1E6C"/>
    <w:rsid w:val="00DD60E3"/>
    <w:rsid w:val="00DF4C7D"/>
    <w:rsid w:val="00E66D6F"/>
    <w:rsid w:val="00E86A3C"/>
    <w:rsid w:val="00E9107C"/>
    <w:rsid w:val="00E925C3"/>
    <w:rsid w:val="00E96B76"/>
    <w:rsid w:val="00ED2619"/>
    <w:rsid w:val="00EE173C"/>
    <w:rsid w:val="00EF5D59"/>
    <w:rsid w:val="00F17883"/>
    <w:rsid w:val="00F47541"/>
    <w:rsid w:val="00F54117"/>
    <w:rsid w:val="00F6173E"/>
    <w:rsid w:val="00F62FB2"/>
    <w:rsid w:val="00F806EA"/>
    <w:rsid w:val="00F82DF1"/>
    <w:rsid w:val="00FE2B24"/>
    <w:rsid w:val="00FF2921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541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324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60CE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60CED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1A1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541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4324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260CE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260CED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1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9096C-2D52-4795-8A45-479C51A0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1059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da Saúde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Dulce Fátima Cerutti</dc:creator>
  <cp:lastModifiedBy>Suziele Souza (GAGD)</cp:lastModifiedBy>
  <cp:revision>2</cp:revision>
  <cp:lastPrinted>2016-08-08T15:47:00Z</cp:lastPrinted>
  <dcterms:created xsi:type="dcterms:W3CDTF">2016-08-08T16:59:00Z</dcterms:created>
  <dcterms:modified xsi:type="dcterms:W3CDTF">2016-08-08T16:59:00Z</dcterms:modified>
</cp:coreProperties>
</file>